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E8EB" w14:textId="68D89D00" w:rsidR="004A3EA2" w:rsidRPr="004A3EA2" w:rsidRDefault="004A3EA2" w:rsidP="004A3EA2">
      <w:pPr>
        <w:keepNext/>
        <w:keepLines/>
        <w:tabs>
          <w:tab w:val="left" w:pos="567"/>
        </w:tabs>
        <w:spacing w:before="240" w:after="240" w:line="259" w:lineRule="auto"/>
        <w:ind w:left="567" w:hanging="567"/>
        <w:outlineLvl w:val="0"/>
        <w:rPr>
          <w:rFonts w:asciiTheme="majorHAnsi" w:eastAsiaTheme="majorEastAsia" w:hAnsiTheme="majorHAnsi" w:cstheme="majorBidi"/>
          <w:color w:val="2E74B5" w:themeColor="accent1" w:themeShade="BF"/>
          <w:sz w:val="32"/>
          <w:szCs w:val="32"/>
        </w:rPr>
      </w:pPr>
      <w:bookmarkStart w:id="0" w:name="_Toc80187011"/>
      <w:bookmarkStart w:id="1" w:name="_Toc80187106"/>
      <w:bookmarkStart w:id="2" w:name="_Toc80278949"/>
      <w:r w:rsidRPr="004A3EA2">
        <w:rPr>
          <w:rFonts w:asciiTheme="majorHAnsi" w:eastAsiaTheme="majorEastAsia" w:hAnsiTheme="majorHAnsi" w:cstheme="majorBidi"/>
          <w:color w:val="2E74B5" w:themeColor="accent1" w:themeShade="BF"/>
          <w:sz w:val="32"/>
          <w:szCs w:val="32"/>
        </w:rPr>
        <w:t>Jeugdhulp, hoe werkt het</w:t>
      </w:r>
      <w:r>
        <w:rPr>
          <w:rFonts w:asciiTheme="majorHAnsi" w:eastAsiaTheme="majorEastAsia" w:hAnsiTheme="majorHAnsi" w:cstheme="majorBidi"/>
          <w:color w:val="2E74B5" w:themeColor="accent1" w:themeShade="BF"/>
          <w:sz w:val="32"/>
          <w:szCs w:val="32"/>
        </w:rPr>
        <w:t xml:space="preserve"> nu</w:t>
      </w:r>
      <w:r w:rsidR="00D36BD3">
        <w:rPr>
          <w:rFonts w:asciiTheme="majorHAnsi" w:eastAsiaTheme="majorEastAsia" w:hAnsiTheme="majorHAnsi" w:cstheme="majorBidi"/>
          <w:color w:val="2E74B5" w:themeColor="accent1" w:themeShade="BF"/>
          <w:sz w:val="32"/>
          <w:szCs w:val="32"/>
        </w:rPr>
        <w:t xml:space="preserve"> in 2021</w:t>
      </w:r>
      <w:r w:rsidRPr="004A3EA2">
        <w:rPr>
          <w:rFonts w:asciiTheme="majorHAnsi" w:eastAsiaTheme="majorEastAsia" w:hAnsiTheme="majorHAnsi" w:cstheme="majorBidi"/>
          <w:color w:val="2E74B5" w:themeColor="accent1" w:themeShade="BF"/>
          <w:sz w:val="32"/>
          <w:szCs w:val="32"/>
        </w:rPr>
        <w:t>?</w:t>
      </w:r>
      <w:bookmarkEnd w:id="0"/>
      <w:bookmarkEnd w:id="1"/>
      <w:bookmarkEnd w:id="2"/>
    </w:p>
    <w:p w14:paraId="1AB7497A" w14:textId="77777777" w:rsidR="004A3EA2" w:rsidRPr="004A3EA2" w:rsidRDefault="004A3EA2" w:rsidP="004A3EA2">
      <w:pPr>
        <w:spacing w:line="280" w:lineRule="atLeast"/>
        <w:rPr>
          <w:rFonts w:asciiTheme="minorHAnsi" w:hAnsiTheme="minorHAnsi" w:cstheme="minorHAnsi"/>
          <w:i/>
          <w:iCs/>
          <w:sz w:val="24"/>
          <w:szCs w:val="24"/>
        </w:rPr>
      </w:pPr>
      <w:r w:rsidRPr="004A3EA2">
        <w:rPr>
          <w:rFonts w:asciiTheme="minorHAnsi" w:hAnsiTheme="minorHAnsi" w:cstheme="minorHAnsi"/>
          <w:i/>
          <w:iCs/>
          <w:sz w:val="24"/>
          <w:szCs w:val="24"/>
        </w:rPr>
        <w:t>Wanneer spreken we over Jeugdhulp, wat zijn de Twentse uitgangspunten en hoe werken we in Twente?</w:t>
      </w:r>
    </w:p>
    <w:p w14:paraId="048A9974" w14:textId="77777777" w:rsidR="004A3EA2" w:rsidRPr="004A3EA2" w:rsidRDefault="004A3EA2" w:rsidP="004A3EA2">
      <w:pPr>
        <w:spacing w:line="280" w:lineRule="atLeast"/>
        <w:rPr>
          <w:rFonts w:asciiTheme="minorHAnsi" w:hAnsiTheme="minorHAnsi" w:cstheme="minorHAnsi"/>
        </w:rPr>
      </w:pPr>
    </w:p>
    <w:p w14:paraId="542D993B"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sz w:val="24"/>
          <w:szCs w:val="24"/>
        </w:rPr>
        <w:t xml:space="preserve">Als er is iets aan de hand is met het kind (jongere), of iets tussen ouder en kind en het lukt hen niet om daar op eigen kracht uit te komen, kan contact worden gezocht met de gemeente (het lokale team) of met de huisarts. </w:t>
      </w:r>
    </w:p>
    <w:p w14:paraId="745C5F12" w14:textId="77777777" w:rsidR="004A3EA2" w:rsidRPr="004A3EA2" w:rsidRDefault="004A3EA2" w:rsidP="004A3EA2">
      <w:pPr>
        <w:spacing w:line="280" w:lineRule="atLeast"/>
        <w:rPr>
          <w:rFonts w:asciiTheme="minorHAnsi" w:hAnsiTheme="minorHAnsi" w:cstheme="minorHAnsi"/>
          <w:sz w:val="24"/>
          <w:szCs w:val="24"/>
        </w:rPr>
      </w:pPr>
    </w:p>
    <w:p w14:paraId="16B8324C"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sz w:val="24"/>
          <w:szCs w:val="24"/>
        </w:rPr>
        <w:t>Vervolgens wordt samen gekeken naar het probleem en welke aanpak passend is. We zoeken naar hulp die zo licht en dichtbij als mogelijk is en zo zwaar als nodig.</w:t>
      </w:r>
    </w:p>
    <w:p w14:paraId="336E51B8" w14:textId="77777777" w:rsidR="004A3EA2" w:rsidRPr="004A3EA2" w:rsidRDefault="004A3EA2" w:rsidP="004A3EA2">
      <w:pPr>
        <w:spacing w:line="280" w:lineRule="atLeast"/>
        <w:rPr>
          <w:rFonts w:asciiTheme="minorHAnsi" w:hAnsiTheme="minorHAnsi" w:cstheme="minorHAnsi"/>
          <w:sz w:val="24"/>
          <w:szCs w:val="24"/>
        </w:rPr>
      </w:pPr>
    </w:p>
    <w:p w14:paraId="2A41DDF5"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sz w:val="24"/>
          <w:szCs w:val="24"/>
        </w:rPr>
        <w:t>Bij lichte problematiek is soms geen zorg nodig of alleen lichte ondersteuning. Ons uitgangspunt is daarom niet onnodig problematiseren maar juist normaliseren. Jeugdigen horen niet in de Jeugdhulp terecht te komen voor problemen die bij het gewone opvoeden en opgroeien horen.</w:t>
      </w:r>
    </w:p>
    <w:p w14:paraId="3BECB8E0" w14:textId="77777777" w:rsidR="004A3EA2" w:rsidRPr="004A3EA2" w:rsidRDefault="004A3EA2" w:rsidP="004A3EA2">
      <w:pPr>
        <w:spacing w:line="280" w:lineRule="atLeast"/>
        <w:rPr>
          <w:rFonts w:asciiTheme="minorHAnsi" w:hAnsiTheme="minorHAnsi" w:cstheme="minorHAnsi"/>
          <w:sz w:val="24"/>
          <w:szCs w:val="24"/>
        </w:rPr>
      </w:pPr>
    </w:p>
    <w:p w14:paraId="037D3E0C"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sz w:val="24"/>
          <w:szCs w:val="24"/>
        </w:rPr>
        <w:t xml:space="preserve">Tegelijkertijd willen we er ook voor zorgen dat we </w:t>
      </w:r>
      <w:r w:rsidRPr="004A3EA2">
        <w:rPr>
          <w:rFonts w:asciiTheme="minorHAnsi" w:hAnsiTheme="minorHAnsi" w:cstheme="minorHAnsi"/>
          <w:i/>
          <w:iCs/>
          <w:sz w:val="24"/>
          <w:szCs w:val="24"/>
        </w:rPr>
        <w:t>tijdig</w:t>
      </w:r>
      <w:r w:rsidRPr="004A3EA2">
        <w:rPr>
          <w:rFonts w:asciiTheme="minorHAnsi" w:hAnsiTheme="minorHAnsi" w:cstheme="minorHAnsi"/>
          <w:sz w:val="24"/>
          <w:szCs w:val="24"/>
        </w:rPr>
        <w:t xml:space="preserve"> specialistische hulp inzetten, bijvoorbeeld bij belastende en langer durende psychiatrische problemen. Te lang wachten kan immers zorgen voor verergering van de problematiek waardoor meer en langer specialistische hulp moet worden ingezet</w:t>
      </w:r>
    </w:p>
    <w:p w14:paraId="486F0EB7" w14:textId="77777777" w:rsidR="004A3EA2" w:rsidRPr="004A3EA2" w:rsidRDefault="004A3EA2" w:rsidP="004A3EA2">
      <w:pPr>
        <w:spacing w:line="280" w:lineRule="atLeast"/>
        <w:rPr>
          <w:rFonts w:asciiTheme="minorHAnsi" w:hAnsiTheme="minorHAnsi" w:cstheme="minorHAnsi"/>
          <w:sz w:val="24"/>
          <w:szCs w:val="24"/>
        </w:rPr>
      </w:pPr>
    </w:p>
    <w:p w14:paraId="67945580" w14:textId="77777777" w:rsidR="004A3EA2" w:rsidRPr="004A3EA2" w:rsidRDefault="004A3EA2" w:rsidP="004A3EA2">
      <w:pPr>
        <w:spacing w:line="280" w:lineRule="atLeast"/>
        <w:rPr>
          <w:rFonts w:asciiTheme="minorHAnsi" w:hAnsiTheme="minorHAnsi" w:cstheme="minorHAnsi"/>
          <w:bCs/>
          <w:iCs/>
          <w:sz w:val="24"/>
          <w:szCs w:val="24"/>
        </w:rPr>
      </w:pPr>
      <w:r w:rsidRPr="004A3EA2">
        <w:rPr>
          <w:rFonts w:asciiTheme="minorHAnsi" w:hAnsiTheme="minorHAnsi" w:cstheme="minorHAnsi"/>
          <w:bCs/>
          <w:iCs/>
          <w:sz w:val="24"/>
          <w:szCs w:val="24"/>
        </w:rPr>
        <w:t xml:space="preserve">We kiezen er voor om ondersteuning zo zwaar als nodig, maar zo licht en dichtbij als mogelijk te organiseren. </w:t>
      </w:r>
    </w:p>
    <w:p w14:paraId="2D17F71E" w14:textId="77777777" w:rsidR="004A3EA2" w:rsidRDefault="004A3EA2" w:rsidP="004A3EA2">
      <w:pPr>
        <w:spacing w:line="280" w:lineRule="atLeast"/>
        <w:rPr>
          <w:rFonts w:asciiTheme="minorHAnsi" w:hAnsiTheme="minorHAnsi" w:cstheme="minorHAnsi"/>
          <w:bCs/>
          <w:iCs/>
          <w:sz w:val="24"/>
          <w:szCs w:val="24"/>
        </w:rPr>
      </w:pPr>
      <w:r w:rsidRPr="004A3EA2">
        <w:rPr>
          <w:rFonts w:asciiTheme="minorHAnsi" w:hAnsiTheme="minorHAnsi" w:cstheme="minorHAnsi"/>
          <w:bCs/>
          <w:iCs/>
          <w:sz w:val="24"/>
          <w:szCs w:val="24"/>
        </w:rPr>
        <w:t xml:space="preserve">Als er sprake is van relatief lichte problemen dan kijken we of we ondersteuning kunnen vinden in de lokale sociale basis die meestal vrij toegankelijk is. </w:t>
      </w:r>
    </w:p>
    <w:p w14:paraId="40A0F33B" w14:textId="20350545" w:rsidR="004A3EA2" w:rsidRPr="004A3EA2" w:rsidRDefault="004A3EA2" w:rsidP="004A3EA2">
      <w:pPr>
        <w:spacing w:line="280" w:lineRule="atLeast"/>
        <w:rPr>
          <w:rFonts w:asciiTheme="minorHAnsi" w:hAnsiTheme="minorHAnsi" w:cstheme="minorHAnsi"/>
          <w:bCs/>
          <w:iCs/>
          <w:sz w:val="24"/>
          <w:szCs w:val="24"/>
        </w:rPr>
      </w:pPr>
      <w:r w:rsidRPr="004A3EA2">
        <w:rPr>
          <w:rFonts w:asciiTheme="minorHAnsi" w:hAnsiTheme="minorHAnsi" w:cstheme="minorHAnsi"/>
          <w:bCs/>
          <w:iCs/>
          <w:sz w:val="24"/>
          <w:szCs w:val="24"/>
        </w:rPr>
        <w:t xml:space="preserve">Die </w:t>
      </w:r>
      <w:r w:rsidRPr="004A3EA2">
        <w:rPr>
          <w:rFonts w:asciiTheme="minorHAnsi" w:hAnsiTheme="minorHAnsi" w:cstheme="minorHAnsi"/>
          <w:bCs/>
          <w:i/>
          <w:sz w:val="24"/>
          <w:szCs w:val="24"/>
          <w:u w:val="single"/>
        </w:rPr>
        <w:t>lokale sociale basisinfrastructuur</w:t>
      </w:r>
      <w:r w:rsidRPr="004A3EA2">
        <w:rPr>
          <w:rFonts w:asciiTheme="minorHAnsi" w:hAnsiTheme="minorHAnsi" w:cstheme="minorHAnsi"/>
          <w:bCs/>
          <w:iCs/>
          <w:sz w:val="24"/>
          <w:szCs w:val="24"/>
        </w:rPr>
        <w:t xml:space="preserve"> bestaat uit basisvoorzieningen en vormen van preventie en lichte ondersteuning. Bijvoorbeeld kinderopvang, scholen, sport, scouting, bibliotheek, muziekschool, jongerenwerk, vrijwilligerswerk, informatie en advies voor opvoeders, JGZ, opvoedondersteuning, lokale teams, voor- en vroegschoolse educatie</w:t>
      </w:r>
    </w:p>
    <w:p w14:paraId="799FEF34" w14:textId="77777777" w:rsidR="004A3EA2" w:rsidRPr="004A3EA2" w:rsidRDefault="004A3EA2" w:rsidP="004A3EA2">
      <w:pPr>
        <w:rPr>
          <w:rFonts w:asciiTheme="minorHAnsi" w:hAnsiTheme="minorHAnsi" w:cstheme="minorHAnsi"/>
          <w:bCs/>
          <w:iCs/>
          <w:sz w:val="24"/>
          <w:szCs w:val="24"/>
        </w:rPr>
      </w:pPr>
    </w:p>
    <w:p w14:paraId="07A896C1" w14:textId="77777777" w:rsidR="004A3EA2" w:rsidRPr="004A3EA2" w:rsidRDefault="004A3EA2" w:rsidP="004A3EA2">
      <w:pPr>
        <w:spacing w:line="280" w:lineRule="atLeast"/>
        <w:rPr>
          <w:rFonts w:asciiTheme="minorHAnsi" w:hAnsiTheme="minorHAnsi" w:cstheme="minorHAnsi"/>
          <w:bCs/>
          <w:iCs/>
          <w:sz w:val="24"/>
          <w:szCs w:val="24"/>
        </w:rPr>
      </w:pPr>
      <w:r w:rsidRPr="004A3EA2">
        <w:rPr>
          <w:rFonts w:asciiTheme="minorHAnsi" w:hAnsiTheme="minorHAnsi" w:cstheme="minorHAnsi"/>
          <w:bCs/>
          <w:iCs/>
          <w:sz w:val="24"/>
          <w:szCs w:val="24"/>
        </w:rPr>
        <w:t xml:space="preserve">Als er sprake is van een psychische stoornis, een lichamelijke en/of geestelijke beperking, de veiligheid van het kind in het geding is of om andere redenen het kind niet kan deelnemen aan onderwijs, vrijetijdsbesteding en sociale contacten, dan zetten we ondersteuning en hulp in die niet vrij toegankelijk zijn. </w:t>
      </w:r>
    </w:p>
    <w:p w14:paraId="38267642" w14:textId="77777777" w:rsidR="004A3EA2" w:rsidRDefault="004A3EA2" w:rsidP="004A3EA2">
      <w:pPr>
        <w:spacing w:line="280" w:lineRule="atLeast"/>
        <w:rPr>
          <w:rFonts w:asciiTheme="minorHAnsi" w:hAnsiTheme="minorHAnsi" w:cstheme="minorHAnsi"/>
          <w:bCs/>
          <w:iCs/>
          <w:sz w:val="24"/>
          <w:szCs w:val="24"/>
        </w:rPr>
      </w:pPr>
    </w:p>
    <w:p w14:paraId="69AC1D23" w14:textId="50390FF8" w:rsidR="004A3EA2" w:rsidRPr="004A3EA2" w:rsidRDefault="004A3EA2" w:rsidP="004A3EA2">
      <w:pPr>
        <w:spacing w:line="280" w:lineRule="atLeast"/>
        <w:rPr>
          <w:rFonts w:asciiTheme="minorHAnsi" w:hAnsiTheme="minorHAnsi" w:cstheme="minorHAnsi"/>
          <w:bCs/>
          <w:iCs/>
          <w:sz w:val="24"/>
          <w:szCs w:val="24"/>
        </w:rPr>
      </w:pPr>
      <w:r w:rsidRPr="004A3EA2">
        <w:rPr>
          <w:rFonts w:asciiTheme="minorHAnsi" w:hAnsiTheme="minorHAnsi" w:cstheme="minorHAnsi"/>
          <w:bCs/>
          <w:iCs/>
          <w:sz w:val="24"/>
          <w:szCs w:val="24"/>
        </w:rPr>
        <w:t>Daarin kennen we veel verschillende vormen:</w:t>
      </w:r>
    </w:p>
    <w:p w14:paraId="0AE6BC4F" w14:textId="77777777" w:rsidR="004A3EA2" w:rsidRPr="004A3EA2" w:rsidRDefault="004A3EA2" w:rsidP="004A3EA2">
      <w:pPr>
        <w:numPr>
          <w:ilvl w:val="0"/>
          <w:numId w:val="1"/>
        </w:numPr>
        <w:spacing w:line="280" w:lineRule="atLeast"/>
        <w:rPr>
          <w:rFonts w:asciiTheme="minorHAnsi" w:hAnsiTheme="minorHAnsi" w:cstheme="minorHAnsi"/>
          <w:sz w:val="24"/>
          <w:szCs w:val="24"/>
        </w:rPr>
      </w:pPr>
      <w:r w:rsidRPr="004A3EA2">
        <w:rPr>
          <w:rFonts w:asciiTheme="minorHAnsi" w:hAnsiTheme="minorHAnsi" w:cstheme="minorHAnsi"/>
          <w:sz w:val="24"/>
          <w:szCs w:val="24"/>
        </w:rPr>
        <w:t>praktische ondersteuning in de eigen leefomgeving</w:t>
      </w:r>
    </w:p>
    <w:p w14:paraId="50D2C816" w14:textId="77777777" w:rsidR="004A3EA2" w:rsidRPr="004A3EA2" w:rsidRDefault="004A3EA2" w:rsidP="004A3EA2">
      <w:pPr>
        <w:numPr>
          <w:ilvl w:val="0"/>
          <w:numId w:val="1"/>
        </w:numPr>
        <w:spacing w:line="280" w:lineRule="atLeast"/>
        <w:rPr>
          <w:rFonts w:asciiTheme="minorHAnsi" w:hAnsiTheme="minorHAnsi" w:cstheme="minorHAnsi"/>
          <w:sz w:val="24"/>
          <w:szCs w:val="24"/>
        </w:rPr>
      </w:pPr>
      <w:r w:rsidRPr="004A3EA2">
        <w:rPr>
          <w:rFonts w:asciiTheme="minorHAnsi" w:hAnsiTheme="minorHAnsi" w:cstheme="minorHAnsi"/>
          <w:sz w:val="24"/>
          <w:szCs w:val="24"/>
        </w:rPr>
        <w:t>praktische ondersteuning en begeleiding in de eigen leefomgeving</w:t>
      </w:r>
    </w:p>
    <w:p w14:paraId="4152E655" w14:textId="77777777" w:rsidR="004A3EA2" w:rsidRPr="004A3EA2" w:rsidRDefault="004A3EA2" w:rsidP="004A3EA2">
      <w:pPr>
        <w:numPr>
          <w:ilvl w:val="0"/>
          <w:numId w:val="1"/>
        </w:numPr>
        <w:spacing w:line="280" w:lineRule="atLeast"/>
        <w:rPr>
          <w:rFonts w:asciiTheme="minorHAnsi" w:hAnsiTheme="minorHAnsi" w:cstheme="minorHAnsi"/>
          <w:sz w:val="24"/>
          <w:szCs w:val="24"/>
        </w:rPr>
      </w:pPr>
      <w:r w:rsidRPr="004A3EA2">
        <w:rPr>
          <w:rFonts w:asciiTheme="minorHAnsi" w:hAnsiTheme="minorHAnsi" w:cstheme="minorHAnsi"/>
          <w:sz w:val="24"/>
          <w:szCs w:val="24"/>
        </w:rPr>
        <w:t xml:space="preserve">specialistische en/of therapeutische ondersteuning </w:t>
      </w:r>
    </w:p>
    <w:p w14:paraId="245B2BC3" w14:textId="77777777" w:rsidR="004A3EA2" w:rsidRPr="004A3EA2" w:rsidRDefault="004A3EA2" w:rsidP="004A3EA2">
      <w:pPr>
        <w:numPr>
          <w:ilvl w:val="0"/>
          <w:numId w:val="1"/>
        </w:numPr>
        <w:spacing w:line="280" w:lineRule="atLeast"/>
        <w:rPr>
          <w:rFonts w:asciiTheme="minorHAnsi" w:hAnsiTheme="minorHAnsi" w:cstheme="minorHAnsi"/>
          <w:sz w:val="24"/>
          <w:szCs w:val="24"/>
        </w:rPr>
      </w:pPr>
      <w:r w:rsidRPr="004A3EA2">
        <w:rPr>
          <w:rFonts w:asciiTheme="minorHAnsi" w:hAnsiTheme="minorHAnsi" w:cstheme="minorHAnsi"/>
          <w:sz w:val="24"/>
          <w:szCs w:val="24"/>
        </w:rPr>
        <w:t>specialistische behandeling van een aandoening of stoornis en bijkomende problemen</w:t>
      </w:r>
    </w:p>
    <w:p w14:paraId="58AAAC5C" w14:textId="77777777" w:rsidR="004A3EA2" w:rsidRPr="004A3EA2" w:rsidRDefault="004A3EA2" w:rsidP="004A3EA2">
      <w:pPr>
        <w:numPr>
          <w:ilvl w:val="0"/>
          <w:numId w:val="1"/>
        </w:numPr>
        <w:spacing w:line="280" w:lineRule="atLeast"/>
        <w:rPr>
          <w:rFonts w:asciiTheme="minorHAnsi" w:hAnsiTheme="minorHAnsi" w:cstheme="minorHAnsi"/>
          <w:sz w:val="24"/>
          <w:szCs w:val="24"/>
        </w:rPr>
      </w:pPr>
      <w:r w:rsidRPr="004A3EA2">
        <w:rPr>
          <w:rFonts w:asciiTheme="minorHAnsi" w:hAnsiTheme="minorHAnsi" w:cstheme="minorHAnsi"/>
          <w:sz w:val="24"/>
          <w:szCs w:val="24"/>
        </w:rPr>
        <w:t>tijdelijk verblijf buiten het ouderlijk gezin</w:t>
      </w:r>
    </w:p>
    <w:p w14:paraId="26A31B11" w14:textId="77777777" w:rsidR="004A3EA2" w:rsidRPr="004A3EA2" w:rsidRDefault="004A3EA2" w:rsidP="004A3EA2">
      <w:pPr>
        <w:numPr>
          <w:ilvl w:val="0"/>
          <w:numId w:val="1"/>
        </w:numPr>
        <w:spacing w:line="280" w:lineRule="atLeast"/>
        <w:rPr>
          <w:rFonts w:asciiTheme="minorHAnsi" w:hAnsiTheme="minorHAnsi" w:cstheme="minorHAnsi"/>
          <w:sz w:val="24"/>
          <w:szCs w:val="24"/>
        </w:rPr>
      </w:pPr>
      <w:r w:rsidRPr="004A3EA2">
        <w:rPr>
          <w:rFonts w:asciiTheme="minorHAnsi" w:hAnsiTheme="minorHAnsi" w:cstheme="minorHAnsi"/>
          <w:sz w:val="24"/>
          <w:szCs w:val="24"/>
        </w:rPr>
        <w:t>langdurig verblijf buiten het ouderlijk gezin (pleegzorg)</w:t>
      </w:r>
    </w:p>
    <w:p w14:paraId="5A522641" w14:textId="77777777" w:rsidR="004A3EA2" w:rsidRPr="004A3EA2" w:rsidRDefault="004A3EA2" w:rsidP="004A3EA2">
      <w:pPr>
        <w:numPr>
          <w:ilvl w:val="0"/>
          <w:numId w:val="1"/>
        </w:numPr>
        <w:spacing w:line="280" w:lineRule="atLeast"/>
        <w:rPr>
          <w:rFonts w:asciiTheme="minorHAnsi" w:hAnsiTheme="minorHAnsi" w:cstheme="minorHAnsi"/>
          <w:sz w:val="24"/>
          <w:szCs w:val="24"/>
        </w:rPr>
      </w:pPr>
      <w:r w:rsidRPr="004A3EA2">
        <w:rPr>
          <w:rFonts w:asciiTheme="minorHAnsi" w:hAnsiTheme="minorHAnsi" w:cstheme="minorHAnsi"/>
          <w:sz w:val="24"/>
          <w:szCs w:val="24"/>
        </w:rPr>
        <w:t>hoogspecialistische behandeling van complexe meervoudige problemen</w:t>
      </w:r>
    </w:p>
    <w:p w14:paraId="1C92659B" w14:textId="77777777" w:rsidR="004A3EA2" w:rsidRPr="004A3EA2" w:rsidRDefault="004A3EA2" w:rsidP="004A3EA2">
      <w:pPr>
        <w:numPr>
          <w:ilvl w:val="0"/>
          <w:numId w:val="1"/>
        </w:numPr>
        <w:spacing w:line="280" w:lineRule="atLeast"/>
        <w:rPr>
          <w:rFonts w:asciiTheme="minorHAnsi" w:hAnsiTheme="minorHAnsi" w:cstheme="minorHAnsi"/>
          <w:sz w:val="24"/>
          <w:szCs w:val="24"/>
        </w:rPr>
      </w:pPr>
      <w:r w:rsidRPr="004A3EA2">
        <w:rPr>
          <w:rFonts w:asciiTheme="minorHAnsi" w:hAnsiTheme="minorHAnsi" w:cstheme="minorHAnsi"/>
          <w:sz w:val="24"/>
          <w:szCs w:val="24"/>
        </w:rPr>
        <w:t xml:space="preserve">crisisopvang </w:t>
      </w:r>
    </w:p>
    <w:p w14:paraId="3750A48E" w14:textId="77777777" w:rsidR="004A3EA2" w:rsidRPr="004A3EA2" w:rsidRDefault="004A3EA2" w:rsidP="004A3EA2">
      <w:pPr>
        <w:numPr>
          <w:ilvl w:val="0"/>
          <w:numId w:val="1"/>
        </w:numPr>
        <w:spacing w:line="280" w:lineRule="atLeast"/>
        <w:rPr>
          <w:rFonts w:asciiTheme="minorHAnsi" w:hAnsiTheme="minorHAnsi" w:cstheme="minorHAnsi"/>
          <w:sz w:val="24"/>
          <w:szCs w:val="24"/>
        </w:rPr>
      </w:pPr>
      <w:r w:rsidRPr="004A3EA2">
        <w:rPr>
          <w:rFonts w:asciiTheme="minorHAnsi" w:hAnsiTheme="minorHAnsi" w:cstheme="minorHAnsi"/>
          <w:sz w:val="24"/>
          <w:szCs w:val="24"/>
        </w:rPr>
        <w:t>jeugdzorg in een gesloten instelling</w:t>
      </w:r>
    </w:p>
    <w:p w14:paraId="2BC5ACBC" w14:textId="77777777" w:rsidR="004A3EA2" w:rsidRPr="004A3EA2" w:rsidRDefault="004A3EA2" w:rsidP="004A3EA2">
      <w:pPr>
        <w:numPr>
          <w:ilvl w:val="0"/>
          <w:numId w:val="1"/>
        </w:numPr>
        <w:spacing w:line="280" w:lineRule="atLeast"/>
        <w:rPr>
          <w:rFonts w:asciiTheme="minorHAnsi" w:hAnsiTheme="minorHAnsi" w:cstheme="minorHAnsi"/>
          <w:sz w:val="24"/>
          <w:szCs w:val="24"/>
        </w:rPr>
      </w:pPr>
      <w:r w:rsidRPr="004A3EA2">
        <w:rPr>
          <w:rFonts w:asciiTheme="minorHAnsi" w:hAnsiTheme="minorHAnsi" w:cstheme="minorHAnsi"/>
          <w:sz w:val="24"/>
          <w:szCs w:val="24"/>
        </w:rPr>
        <w:lastRenderedPageBreak/>
        <w:t>jeugdbescherming (bij veiligheidsproblemen) en jeugdreclassering.</w:t>
      </w:r>
    </w:p>
    <w:p w14:paraId="59807745" w14:textId="77777777" w:rsidR="004A3EA2" w:rsidRPr="004A3EA2" w:rsidRDefault="004A3EA2" w:rsidP="004A3EA2">
      <w:pPr>
        <w:spacing w:line="280" w:lineRule="atLeast"/>
        <w:rPr>
          <w:rFonts w:asciiTheme="minorHAnsi" w:hAnsiTheme="minorHAnsi" w:cstheme="minorHAnsi"/>
          <w:sz w:val="24"/>
          <w:szCs w:val="24"/>
        </w:rPr>
      </w:pPr>
    </w:p>
    <w:p w14:paraId="306C7D24"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sz w:val="24"/>
          <w:szCs w:val="24"/>
        </w:rPr>
        <w:t>Voor de niet vrij toegankelijke vormen van  jeugdhulp te ontvangen is een verwijzing nodig. Die kan van de gemeente komen, een lokaal team, maar ook van de huisarts, jeugdarts of medisch specialist. Ook de jeugdbeschermer en jeugdreclasseerder bij de Gecertificeerde Instellingen (</w:t>
      </w:r>
      <w:proofErr w:type="spellStart"/>
      <w:r w:rsidRPr="004A3EA2">
        <w:rPr>
          <w:rFonts w:asciiTheme="minorHAnsi" w:hAnsiTheme="minorHAnsi" w:cstheme="minorHAnsi"/>
          <w:sz w:val="24"/>
          <w:szCs w:val="24"/>
        </w:rPr>
        <w:t>GI’s</w:t>
      </w:r>
      <w:proofErr w:type="spellEnd"/>
      <w:r w:rsidRPr="004A3EA2">
        <w:rPr>
          <w:rFonts w:asciiTheme="minorHAnsi" w:hAnsiTheme="minorHAnsi" w:cstheme="minorHAnsi"/>
          <w:sz w:val="24"/>
          <w:szCs w:val="24"/>
        </w:rPr>
        <w:t xml:space="preserve">) zijn erkend verwijzer. </w:t>
      </w:r>
      <w:proofErr w:type="spellStart"/>
      <w:r w:rsidRPr="004A3EA2">
        <w:rPr>
          <w:rFonts w:asciiTheme="minorHAnsi" w:hAnsiTheme="minorHAnsi" w:cstheme="minorHAnsi"/>
          <w:sz w:val="24"/>
          <w:szCs w:val="24"/>
        </w:rPr>
        <w:t>GI’s</w:t>
      </w:r>
      <w:proofErr w:type="spellEnd"/>
      <w:r w:rsidRPr="004A3EA2">
        <w:rPr>
          <w:rFonts w:asciiTheme="minorHAnsi" w:hAnsiTheme="minorHAnsi" w:cstheme="minorHAnsi"/>
          <w:sz w:val="24"/>
          <w:szCs w:val="24"/>
        </w:rPr>
        <w:t xml:space="preserve"> zetten daarnaast ook zelf zorg in.</w:t>
      </w:r>
    </w:p>
    <w:p w14:paraId="4D099735"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589E9467" wp14:editId="56B00A2F">
                <wp:simplePos x="0" y="0"/>
                <wp:positionH relativeFrom="column">
                  <wp:posOffset>959485</wp:posOffset>
                </wp:positionH>
                <wp:positionV relativeFrom="paragraph">
                  <wp:posOffset>163830</wp:posOffset>
                </wp:positionV>
                <wp:extent cx="5043170" cy="1404620"/>
                <wp:effectExtent l="0" t="0" r="2413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170" cy="1404620"/>
                        </a:xfrm>
                        <a:prstGeom prst="rect">
                          <a:avLst/>
                        </a:prstGeom>
                        <a:solidFill>
                          <a:srgbClr val="5B9BD5">
                            <a:lumMod val="20000"/>
                            <a:lumOff val="80000"/>
                          </a:srgbClr>
                        </a:solidFill>
                        <a:ln w="9525">
                          <a:solidFill>
                            <a:srgbClr val="000000"/>
                          </a:solidFill>
                          <a:miter lim="800000"/>
                          <a:headEnd/>
                          <a:tailEnd/>
                        </a:ln>
                      </wps:spPr>
                      <wps:txbx>
                        <w:txbxContent>
                          <w:p w14:paraId="1D68B7CA" w14:textId="77777777" w:rsidR="004A3EA2" w:rsidRPr="00693536" w:rsidRDefault="004A3EA2" w:rsidP="004A3EA2">
                            <w:pPr>
                              <w:shd w:val="clear" w:color="auto" w:fill="DEEAF6" w:themeFill="accent1" w:themeFillTint="33"/>
                              <w:rPr>
                                <w:i/>
                                <w:iCs/>
                                <w:color w:val="000000" w:themeColor="text1"/>
                              </w:rPr>
                            </w:pPr>
                            <w:r w:rsidRPr="00693536">
                              <w:rPr>
                                <w:i/>
                                <w:iCs/>
                                <w:color w:val="000000" w:themeColor="text1"/>
                              </w:rPr>
                              <w:t>Bij veiligheidsproblemen in het gezin kan de  kinderrechter een maatregel voor kinderbescherming opleggen. Dat noemen we het “gedwongen kader”</w:t>
                            </w:r>
                            <w:r>
                              <w:rPr>
                                <w:i/>
                                <w:iCs/>
                                <w:color w:val="000000" w:themeColor="text1"/>
                              </w:rPr>
                              <w:t>. Om die reden noemen Jeugdhulp zonder rechterlijke maatregel het “vrijwillig kader”.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E9467" id="_x0000_t202" coordsize="21600,21600" o:spt="202" path="m,l,21600r21600,l21600,xe">
                <v:stroke joinstyle="miter"/>
                <v:path gradientshapeok="t" o:connecttype="rect"/>
              </v:shapetype>
              <v:shape id="Tekstvak 2" o:spid="_x0000_s1026" type="#_x0000_t202" style="position:absolute;margin-left:75.55pt;margin-top:12.9pt;width:39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" fillcolor="#deebf7">
                <v:textbox style="mso-fit-shape-to-text:t">
                  <w:txbxContent>
                    <w:p w14:paraId="1D68B7CA" w14:textId="77777777" w:rsidR="004A3EA2" w:rsidRPr="00693536" w:rsidRDefault="004A3EA2" w:rsidP="004A3EA2">
                      <w:pPr>
                        <w:shd w:val="clear" w:color="auto" w:fill="DEEAF6" w:themeFill="accent1" w:themeFillTint="33"/>
                        <w:rPr>
                          <w:i/>
                          <w:iCs/>
                          <w:color w:val="000000" w:themeColor="text1"/>
                        </w:rPr>
                      </w:pPr>
                      <w:r w:rsidRPr="00693536">
                        <w:rPr>
                          <w:i/>
                          <w:iCs/>
                          <w:color w:val="000000" w:themeColor="text1"/>
                        </w:rPr>
                        <w:t>Bij veiligheidsproblemen in het gezin kan de  kinderrechter een maatregel voor kinderbescherming opleggen. Dat noemen we het “gedwongen kader”</w:t>
                      </w:r>
                      <w:r>
                        <w:rPr>
                          <w:i/>
                          <w:iCs/>
                          <w:color w:val="000000" w:themeColor="text1"/>
                        </w:rPr>
                        <w:t>. Om die reden noemen Jeugdhulp zonder rechterlijke maatregel het “vrijwillig kader”.</w:t>
                      </w:r>
                    </w:p>
                  </w:txbxContent>
                </v:textbox>
                <w10:wrap type="square"/>
              </v:shape>
            </w:pict>
          </mc:Fallback>
        </mc:AlternateContent>
      </w:r>
    </w:p>
    <w:p w14:paraId="03FAB0E3" w14:textId="77777777" w:rsidR="004A3EA2" w:rsidRPr="004A3EA2" w:rsidRDefault="004A3EA2" w:rsidP="004A3EA2">
      <w:pPr>
        <w:spacing w:line="280" w:lineRule="atLeast"/>
        <w:rPr>
          <w:rFonts w:asciiTheme="minorHAnsi" w:hAnsiTheme="minorHAnsi" w:cstheme="minorHAnsi"/>
          <w:sz w:val="24"/>
          <w:szCs w:val="24"/>
        </w:rPr>
      </w:pPr>
    </w:p>
    <w:p w14:paraId="4360A5C5" w14:textId="77777777" w:rsidR="004A3EA2" w:rsidRPr="004A3EA2" w:rsidRDefault="004A3EA2" w:rsidP="004A3EA2">
      <w:pPr>
        <w:spacing w:line="280" w:lineRule="atLeast"/>
        <w:rPr>
          <w:rFonts w:asciiTheme="minorHAnsi" w:hAnsiTheme="minorHAnsi" w:cstheme="minorHAnsi"/>
          <w:sz w:val="24"/>
          <w:szCs w:val="24"/>
        </w:rPr>
      </w:pPr>
    </w:p>
    <w:p w14:paraId="6DC43DF8" w14:textId="77777777" w:rsidR="004A3EA2" w:rsidRPr="004A3EA2" w:rsidRDefault="004A3EA2" w:rsidP="004A3EA2">
      <w:pPr>
        <w:spacing w:line="280" w:lineRule="atLeast"/>
        <w:rPr>
          <w:rFonts w:asciiTheme="minorHAnsi" w:hAnsiTheme="minorHAnsi" w:cstheme="minorHAnsi"/>
          <w:sz w:val="24"/>
          <w:szCs w:val="24"/>
        </w:rPr>
      </w:pPr>
    </w:p>
    <w:p w14:paraId="1C8A5745" w14:textId="77777777" w:rsidR="004A3EA2" w:rsidRPr="004A3EA2" w:rsidRDefault="004A3EA2" w:rsidP="004A3EA2">
      <w:pPr>
        <w:spacing w:line="280" w:lineRule="atLeast"/>
        <w:rPr>
          <w:rFonts w:asciiTheme="minorHAnsi" w:hAnsiTheme="minorHAnsi" w:cstheme="minorHAnsi"/>
          <w:sz w:val="24"/>
          <w:szCs w:val="24"/>
        </w:rPr>
      </w:pPr>
    </w:p>
    <w:p w14:paraId="0242B56E" w14:textId="77777777" w:rsidR="004A3EA2" w:rsidRPr="004A3EA2" w:rsidRDefault="004A3EA2" w:rsidP="004A3EA2">
      <w:pPr>
        <w:spacing w:line="280" w:lineRule="atLeast"/>
        <w:rPr>
          <w:rFonts w:asciiTheme="minorHAnsi" w:hAnsiTheme="minorHAnsi" w:cstheme="minorHAnsi"/>
          <w:i/>
          <w:iCs/>
          <w:sz w:val="28"/>
          <w:szCs w:val="28"/>
        </w:rPr>
      </w:pPr>
      <w:r w:rsidRPr="004A3EA2">
        <w:rPr>
          <w:rFonts w:asciiTheme="minorHAnsi" w:hAnsiTheme="minorHAnsi" w:cstheme="minorHAnsi"/>
          <w:i/>
          <w:iCs/>
          <w:sz w:val="28"/>
          <w:szCs w:val="28"/>
        </w:rPr>
        <w:t>Twentse Samenwerking</w:t>
      </w:r>
    </w:p>
    <w:p w14:paraId="5436FBC0" w14:textId="77777777" w:rsidR="004A3EA2" w:rsidRPr="004A3EA2" w:rsidRDefault="004A3EA2" w:rsidP="004A3EA2">
      <w:pPr>
        <w:spacing w:line="280" w:lineRule="atLeast"/>
        <w:rPr>
          <w:rFonts w:asciiTheme="minorHAnsi" w:hAnsiTheme="minorHAnsi" w:cstheme="minorHAnsi"/>
          <w:sz w:val="24"/>
          <w:szCs w:val="24"/>
        </w:rPr>
      </w:pPr>
    </w:p>
    <w:p w14:paraId="5C64D6D5"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sz w:val="24"/>
          <w:szCs w:val="24"/>
        </w:rPr>
        <w:t>We werken in Twente vanaf 2015 met een regionale organisatie:  Ondersteuning Zorg en Jeugd Twente (OZJT). ). OZJT werkt in opdracht van de Samen 14 gemeenten op het gebied van inkoop en contractmanagement.</w:t>
      </w:r>
    </w:p>
    <w:p w14:paraId="2392914E" w14:textId="77777777" w:rsidR="004A3EA2" w:rsidRPr="004A3EA2" w:rsidRDefault="004A3EA2" w:rsidP="004A3EA2">
      <w:pPr>
        <w:spacing w:line="280" w:lineRule="atLeast"/>
        <w:rPr>
          <w:rFonts w:asciiTheme="minorHAnsi" w:hAnsiTheme="minorHAnsi" w:cstheme="minorHAnsi"/>
          <w:sz w:val="24"/>
          <w:szCs w:val="24"/>
        </w:rPr>
      </w:pPr>
    </w:p>
    <w:p w14:paraId="48DD34B4"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sz w:val="24"/>
          <w:szCs w:val="24"/>
        </w:rPr>
        <w:t xml:space="preserve">In Twente gebruiken we het Twents Model om de juiste jeugdhulp en/of </w:t>
      </w:r>
      <w:proofErr w:type="spellStart"/>
      <w:r w:rsidRPr="004A3EA2">
        <w:rPr>
          <w:rFonts w:asciiTheme="minorHAnsi" w:hAnsiTheme="minorHAnsi" w:cstheme="minorHAnsi"/>
          <w:sz w:val="24"/>
          <w:szCs w:val="24"/>
        </w:rPr>
        <w:t>Wmo</w:t>
      </w:r>
      <w:proofErr w:type="spellEnd"/>
      <w:r w:rsidRPr="004A3EA2">
        <w:rPr>
          <w:rFonts w:asciiTheme="minorHAnsi" w:hAnsiTheme="minorHAnsi" w:cstheme="minorHAnsi"/>
          <w:sz w:val="24"/>
          <w:szCs w:val="24"/>
        </w:rPr>
        <w:t xml:space="preserve">  maatwerkvoorziening in te zetten voor onze inwoners. De verschillende vormen van jeugdhulp zijn hierin opgenomen.</w:t>
      </w:r>
    </w:p>
    <w:p w14:paraId="693BAF49"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sz w:val="24"/>
          <w:szCs w:val="24"/>
        </w:rPr>
        <w:t xml:space="preserve">In opdracht van </w:t>
      </w:r>
      <w:r w:rsidRPr="004A3EA2">
        <w:rPr>
          <w:rFonts w:asciiTheme="minorHAnsi" w:hAnsiTheme="minorHAnsi" w:cstheme="minorHAnsi"/>
          <w:i/>
          <w:iCs/>
          <w:sz w:val="24"/>
          <w:szCs w:val="24"/>
        </w:rPr>
        <w:t>alle</w:t>
      </w:r>
      <w:r w:rsidRPr="004A3EA2">
        <w:rPr>
          <w:rFonts w:asciiTheme="minorHAnsi" w:hAnsiTheme="minorHAnsi" w:cstheme="minorHAnsi"/>
          <w:sz w:val="24"/>
          <w:szCs w:val="24"/>
        </w:rPr>
        <w:t xml:space="preserve"> regiogemeenten heeft OZJT afspraken gemaakt met de zorgaanbieders van hoogspecialistische jeugdhulp en van verblijf buiten het ouderlijk gezin (de onderdelen 5 t/m 10).</w:t>
      </w:r>
    </w:p>
    <w:p w14:paraId="31C071D1" w14:textId="77777777" w:rsidR="004A3EA2" w:rsidRPr="004A3EA2" w:rsidRDefault="004A3EA2" w:rsidP="004A3EA2">
      <w:pPr>
        <w:spacing w:line="280" w:lineRule="atLeast"/>
        <w:rPr>
          <w:rFonts w:asciiTheme="minorHAnsi" w:hAnsiTheme="minorHAnsi" w:cstheme="minorHAnsi"/>
          <w:sz w:val="24"/>
          <w:szCs w:val="24"/>
        </w:rPr>
      </w:pPr>
    </w:p>
    <w:p w14:paraId="3EDB20CA"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sz w:val="24"/>
          <w:szCs w:val="24"/>
        </w:rPr>
        <w:t>Voor de Jeugdhulp in de eigen leefomgeving (</w:t>
      </w:r>
      <w:r w:rsidRPr="004A3EA2">
        <w:rPr>
          <w:rFonts w:asciiTheme="minorHAnsi" w:hAnsiTheme="minorHAnsi" w:cstheme="minorHAnsi"/>
          <w:i/>
          <w:iCs/>
          <w:sz w:val="24"/>
          <w:szCs w:val="24"/>
        </w:rPr>
        <w:t>ambulante jeugdhulp</w:t>
      </w:r>
      <w:r w:rsidRPr="004A3EA2">
        <w:rPr>
          <w:rFonts w:asciiTheme="minorHAnsi" w:hAnsiTheme="minorHAnsi" w:cstheme="minorHAnsi"/>
          <w:sz w:val="24"/>
          <w:szCs w:val="24"/>
        </w:rPr>
        <w:t xml:space="preserve">) werken 12 Twentse gemeenten binnen OZJT met het Twents Ondersteuningsmodel. In dit model is de ondersteuningsbehoefte van de jeugdige (en gezin) en het te bereiken resultaat uitgangspunt voor de inzet van jeugdhulp. </w:t>
      </w:r>
    </w:p>
    <w:p w14:paraId="7785B242" w14:textId="77777777" w:rsidR="004A3EA2" w:rsidRPr="004A3EA2" w:rsidRDefault="004A3EA2" w:rsidP="004A3EA2">
      <w:pPr>
        <w:spacing w:line="280" w:lineRule="atLeast"/>
        <w:rPr>
          <w:rFonts w:asciiTheme="minorHAnsi" w:hAnsiTheme="minorHAnsi" w:cstheme="minorHAnsi"/>
          <w:sz w:val="24"/>
          <w:szCs w:val="24"/>
        </w:rPr>
      </w:pPr>
    </w:p>
    <w:p w14:paraId="5F1475C0"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sz w:val="24"/>
          <w:szCs w:val="24"/>
        </w:rPr>
        <w:t xml:space="preserve">De gemeente Almelo en Hof van Twente werken voor het ambulante deel </w:t>
      </w:r>
      <w:r w:rsidRPr="004A3EA2">
        <w:rPr>
          <w:rFonts w:asciiTheme="minorHAnsi" w:hAnsiTheme="minorHAnsi" w:cstheme="minorHAnsi"/>
          <w:i/>
          <w:iCs/>
          <w:sz w:val="24"/>
          <w:szCs w:val="24"/>
        </w:rPr>
        <w:t>niet</w:t>
      </w:r>
      <w:r w:rsidRPr="004A3EA2">
        <w:rPr>
          <w:rFonts w:asciiTheme="minorHAnsi" w:hAnsiTheme="minorHAnsi" w:cstheme="minorHAnsi"/>
          <w:sz w:val="24"/>
          <w:szCs w:val="24"/>
        </w:rPr>
        <w:t xml:space="preserve"> met dit model. Voor de inzet van deze Jeugdhulp wordt in deze gemeenten gezocht naar het meest passende aanbod (product) van de zorgaanbieders</w:t>
      </w:r>
    </w:p>
    <w:p w14:paraId="2EF6369F" w14:textId="77777777" w:rsidR="004A3EA2" w:rsidRPr="004A3EA2" w:rsidRDefault="004A3EA2" w:rsidP="004A3EA2">
      <w:pPr>
        <w:spacing w:line="280" w:lineRule="atLeast"/>
        <w:rPr>
          <w:rFonts w:asciiTheme="minorHAnsi" w:hAnsiTheme="minorHAnsi" w:cstheme="minorHAnsi"/>
          <w:sz w:val="24"/>
          <w:szCs w:val="24"/>
        </w:rPr>
      </w:pPr>
      <w:r w:rsidRPr="004A3EA2">
        <w:rPr>
          <w:rFonts w:asciiTheme="minorHAnsi" w:hAnsiTheme="minorHAnsi" w:cstheme="minorHAnsi"/>
          <w:noProof/>
          <w:sz w:val="24"/>
          <w:szCs w:val="24"/>
        </w:rPr>
        <mc:AlternateContent>
          <mc:Choice Requires="wps">
            <w:drawing>
              <wp:anchor distT="45720" distB="45720" distL="114300" distR="114300" simplePos="0" relativeHeight="251660288" behindDoc="0" locked="0" layoutInCell="1" allowOverlap="1" wp14:anchorId="3A8393F4" wp14:editId="64CFBA2D">
                <wp:simplePos x="0" y="0"/>
                <wp:positionH relativeFrom="column">
                  <wp:posOffset>2177415</wp:posOffset>
                </wp:positionH>
                <wp:positionV relativeFrom="paragraph">
                  <wp:posOffset>3810</wp:posOffset>
                </wp:positionV>
                <wp:extent cx="3475355" cy="403860"/>
                <wp:effectExtent l="0" t="0" r="10795" b="1524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403860"/>
                        </a:xfrm>
                        <a:prstGeom prst="rect">
                          <a:avLst/>
                        </a:prstGeom>
                        <a:solidFill>
                          <a:srgbClr val="5B9BD5">
                            <a:lumMod val="20000"/>
                            <a:lumOff val="80000"/>
                          </a:srgbClr>
                        </a:solidFill>
                        <a:ln w="9525">
                          <a:solidFill>
                            <a:srgbClr val="000000"/>
                          </a:solidFill>
                          <a:miter lim="800000"/>
                          <a:headEnd/>
                          <a:tailEnd/>
                        </a:ln>
                      </wps:spPr>
                      <wps:txbx>
                        <w:txbxContent>
                          <w:p w14:paraId="4EA0FA68" w14:textId="77777777" w:rsidR="004A3EA2" w:rsidRPr="00A4540D" w:rsidRDefault="004A3EA2" w:rsidP="004A3EA2">
                            <w:r w:rsidRPr="00A4540D">
                              <w:t>Ambulante jeugdhulp</w:t>
                            </w:r>
                            <w:r>
                              <w:t xml:space="preserve"> </w:t>
                            </w:r>
                            <w:r w:rsidRPr="00A4540D">
                              <w:t xml:space="preserve"> is hulp die de jeugdige of het gezin ontvangt en waarbij ze thuis kunnen blijven wonen.</w:t>
                            </w:r>
                          </w:p>
                          <w:p w14:paraId="10B340CD" w14:textId="77777777" w:rsidR="004A3EA2" w:rsidRDefault="004A3EA2" w:rsidP="004A3E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393F4" id="_x0000_s1027" type="#_x0000_t202" style="position:absolute;margin-left:171.45pt;margin-top:.3pt;width:273.65pt;height:3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" fillcolor="#deebf7">
                <v:textbox>
                  <w:txbxContent>
                    <w:p w14:paraId="4EA0FA68" w14:textId="77777777" w:rsidR="004A3EA2" w:rsidRPr="00A4540D" w:rsidRDefault="004A3EA2" w:rsidP="004A3EA2">
                      <w:r w:rsidRPr="00A4540D">
                        <w:t>Ambulante jeugdhulp</w:t>
                      </w:r>
                      <w:r>
                        <w:t xml:space="preserve"> </w:t>
                      </w:r>
                      <w:r w:rsidRPr="00A4540D">
                        <w:t xml:space="preserve"> is hulp die de jeugdige of het gezin ontvangt en waarbij ze thuis kunnen blijven wonen.</w:t>
                      </w:r>
                    </w:p>
                    <w:p w14:paraId="10B340CD" w14:textId="77777777" w:rsidR="004A3EA2" w:rsidRDefault="004A3EA2" w:rsidP="004A3EA2"/>
                  </w:txbxContent>
                </v:textbox>
                <w10:wrap type="square"/>
              </v:shape>
            </w:pict>
          </mc:Fallback>
        </mc:AlternateContent>
      </w:r>
    </w:p>
    <w:p w14:paraId="369A2C82" w14:textId="77777777" w:rsidR="004A3EA2" w:rsidRPr="004A3EA2" w:rsidRDefault="004A3EA2" w:rsidP="004A3EA2">
      <w:pPr>
        <w:spacing w:line="280" w:lineRule="atLeast"/>
        <w:rPr>
          <w:rFonts w:asciiTheme="minorHAnsi" w:hAnsiTheme="minorHAnsi" w:cstheme="minorHAnsi"/>
          <w:sz w:val="24"/>
          <w:szCs w:val="24"/>
        </w:rPr>
      </w:pPr>
    </w:p>
    <w:p w14:paraId="53AA3A49" w14:textId="636F00DB" w:rsidR="004A3EA2" w:rsidRPr="004A3EA2" w:rsidRDefault="004A3EA2" w:rsidP="004A3EA2">
      <w:pPr>
        <w:spacing w:line="280" w:lineRule="atLeast"/>
        <w:rPr>
          <w:rFonts w:asciiTheme="minorHAnsi" w:hAnsiTheme="minorHAnsi" w:cstheme="minorHAnsi"/>
          <w:sz w:val="24"/>
          <w:szCs w:val="24"/>
        </w:rPr>
      </w:pPr>
    </w:p>
    <w:p w14:paraId="448AF22A" w14:textId="77777777" w:rsidR="004A3EA2" w:rsidRPr="004A3EA2" w:rsidRDefault="004A3EA2" w:rsidP="004A3EA2">
      <w:pPr>
        <w:spacing w:line="280" w:lineRule="atLeast"/>
        <w:rPr>
          <w:rFonts w:asciiTheme="minorHAnsi" w:hAnsiTheme="minorHAnsi" w:cstheme="minorHAnsi"/>
          <w:sz w:val="24"/>
          <w:szCs w:val="24"/>
        </w:rPr>
      </w:pPr>
    </w:p>
    <w:p w14:paraId="21790176" w14:textId="3693A1A9" w:rsidR="004A3EA2" w:rsidRPr="004A3EA2" w:rsidRDefault="004A3EA2" w:rsidP="004A3EA2">
      <w:pPr>
        <w:spacing w:line="280" w:lineRule="atLeast"/>
        <w:rPr>
          <w:rFonts w:asciiTheme="minorHAnsi" w:hAnsiTheme="minorHAnsi" w:cstheme="minorHAnsi"/>
          <w:sz w:val="24"/>
          <w:szCs w:val="24"/>
        </w:rPr>
      </w:pPr>
    </w:p>
    <w:p w14:paraId="3A39DB4B" w14:textId="77777777" w:rsidR="004A3EA2" w:rsidRPr="004A3EA2" w:rsidRDefault="004A3EA2" w:rsidP="004A3EA2">
      <w:pPr>
        <w:spacing w:line="280" w:lineRule="atLeast"/>
        <w:rPr>
          <w:rFonts w:asciiTheme="minorHAnsi" w:hAnsiTheme="minorHAnsi" w:cstheme="minorHAnsi"/>
          <w:sz w:val="24"/>
          <w:szCs w:val="24"/>
        </w:rPr>
      </w:pPr>
    </w:p>
    <w:p w14:paraId="18DD42FC" w14:textId="77777777" w:rsidR="006E7D0A" w:rsidRDefault="006E7D0A"/>
    <w:sectPr w:rsidR="006E7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B93"/>
    <w:multiLevelType w:val="hybridMultilevel"/>
    <w:tmpl w:val="FAA2CC0A"/>
    <w:lvl w:ilvl="0" w:tplc="20523798">
      <w:start w:val="1"/>
      <w:numFmt w:val="bullet"/>
      <w:lvlText w:val="•"/>
      <w:lvlJc w:val="left"/>
      <w:pPr>
        <w:tabs>
          <w:tab w:val="num" w:pos="360"/>
        </w:tabs>
        <w:ind w:left="360" w:hanging="360"/>
      </w:pPr>
      <w:rPr>
        <w:rFonts w:ascii="Arial" w:hAnsi="Arial" w:hint="default"/>
      </w:rPr>
    </w:lvl>
    <w:lvl w:ilvl="1" w:tplc="3522C526">
      <w:start w:val="1"/>
      <w:numFmt w:val="bullet"/>
      <w:lvlText w:val="•"/>
      <w:lvlJc w:val="left"/>
      <w:pPr>
        <w:tabs>
          <w:tab w:val="num" w:pos="1080"/>
        </w:tabs>
        <w:ind w:left="1080" w:hanging="360"/>
      </w:pPr>
      <w:rPr>
        <w:rFonts w:ascii="Arial" w:hAnsi="Arial" w:hint="default"/>
      </w:rPr>
    </w:lvl>
    <w:lvl w:ilvl="2" w:tplc="EC8AF636" w:tentative="1">
      <w:start w:val="1"/>
      <w:numFmt w:val="bullet"/>
      <w:lvlText w:val="•"/>
      <w:lvlJc w:val="left"/>
      <w:pPr>
        <w:tabs>
          <w:tab w:val="num" w:pos="1800"/>
        </w:tabs>
        <w:ind w:left="1800" w:hanging="360"/>
      </w:pPr>
      <w:rPr>
        <w:rFonts w:ascii="Arial" w:hAnsi="Arial" w:hint="default"/>
      </w:rPr>
    </w:lvl>
    <w:lvl w:ilvl="3" w:tplc="0978A0F6" w:tentative="1">
      <w:start w:val="1"/>
      <w:numFmt w:val="bullet"/>
      <w:lvlText w:val="•"/>
      <w:lvlJc w:val="left"/>
      <w:pPr>
        <w:tabs>
          <w:tab w:val="num" w:pos="2520"/>
        </w:tabs>
        <w:ind w:left="2520" w:hanging="360"/>
      </w:pPr>
      <w:rPr>
        <w:rFonts w:ascii="Arial" w:hAnsi="Arial" w:hint="default"/>
      </w:rPr>
    </w:lvl>
    <w:lvl w:ilvl="4" w:tplc="90F20D2C" w:tentative="1">
      <w:start w:val="1"/>
      <w:numFmt w:val="bullet"/>
      <w:lvlText w:val="•"/>
      <w:lvlJc w:val="left"/>
      <w:pPr>
        <w:tabs>
          <w:tab w:val="num" w:pos="3240"/>
        </w:tabs>
        <w:ind w:left="3240" w:hanging="360"/>
      </w:pPr>
      <w:rPr>
        <w:rFonts w:ascii="Arial" w:hAnsi="Arial" w:hint="default"/>
      </w:rPr>
    </w:lvl>
    <w:lvl w:ilvl="5" w:tplc="95E6380C" w:tentative="1">
      <w:start w:val="1"/>
      <w:numFmt w:val="bullet"/>
      <w:lvlText w:val="•"/>
      <w:lvlJc w:val="left"/>
      <w:pPr>
        <w:tabs>
          <w:tab w:val="num" w:pos="3960"/>
        </w:tabs>
        <w:ind w:left="3960" w:hanging="360"/>
      </w:pPr>
      <w:rPr>
        <w:rFonts w:ascii="Arial" w:hAnsi="Arial" w:hint="default"/>
      </w:rPr>
    </w:lvl>
    <w:lvl w:ilvl="6" w:tplc="B1220D78" w:tentative="1">
      <w:start w:val="1"/>
      <w:numFmt w:val="bullet"/>
      <w:lvlText w:val="•"/>
      <w:lvlJc w:val="left"/>
      <w:pPr>
        <w:tabs>
          <w:tab w:val="num" w:pos="4680"/>
        </w:tabs>
        <w:ind w:left="4680" w:hanging="360"/>
      </w:pPr>
      <w:rPr>
        <w:rFonts w:ascii="Arial" w:hAnsi="Arial" w:hint="default"/>
      </w:rPr>
    </w:lvl>
    <w:lvl w:ilvl="7" w:tplc="35F2074C" w:tentative="1">
      <w:start w:val="1"/>
      <w:numFmt w:val="bullet"/>
      <w:lvlText w:val="•"/>
      <w:lvlJc w:val="left"/>
      <w:pPr>
        <w:tabs>
          <w:tab w:val="num" w:pos="5400"/>
        </w:tabs>
        <w:ind w:left="5400" w:hanging="360"/>
      </w:pPr>
      <w:rPr>
        <w:rFonts w:ascii="Arial" w:hAnsi="Arial" w:hint="default"/>
      </w:rPr>
    </w:lvl>
    <w:lvl w:ilvl="8" w:tplc="70447A2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61D0CB6"/>
    <w:multiLevelType w:val="hybridMultilevel"/>
    <w:tmpl w:val="B1605C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A2"/>
    <w:rsid w:val="004A3EA2"/>
    <w:rsid w:val="004E1204"/>
    <w:rsid w:val="006E7D0A"/>
    <w:rsid w:val="00D36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3B15"/>
  <w15:chartTrackingRefBased/>
  <w15:docId w15:val="{A4F23E8E-01BB-4661-B57C-07BA00B4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3453</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Waninge</dc:creator>
  <cp:keywords/>
  <dc:description/>
  <cp:lastModifiedBy>Wim Waninge</cp:lastModifiedBy>
  <cp:revision>2</cp:revision>
  <dcterms:created xsi:type="dcterms:W3CDTF">2021-10-22T12:14:00Z</dcterms:created>
  <dcterms:modified xsi:type="dcterms:W3CDTF">2021-10-22T12:19:00Z</dcterms:modified>
</cp:coreProperties>
</file>